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FAD" w:rsidRPr="00726FAD" w:rsidRDefault="00726FAD" w:rsidP="00726FAD">
      <w:pPr>
        <w:numPr>
          <w:ilvl w:val="0"/>
          <w:numId w:val="1"/>
        </w:numPr>
        <w:shd w:val="clear" w:color="auto" w:fill="FFFFFF"/>
        <w:spacing w:after="0" w:line="240" w:lineRule="auto"/>
        <w:ind w:left="735"/>
        <w:rPr>
          <w:rFonts w:ascii="Arial" w:eastAsia="Times New Roman" w:hAnsi="Arial" w:cs="Arial"/>
          <w:sz w:val="20"/>
          <w:szCs w:val="20"/>
          <w:lang w:eastAsia="ru-RU"/>
        </w:rPr>
      </w:pPr>
      <w:bookmarkStart w:id="0" w:name="_GoBack"/>
      <w:bookmarkEnd w:id="0"/>
    </w:p>
    <w:p w:rsidR="00726FAD" w:rsidRPr="00726FAD" w:rsidRDefault="00726FAD" w:rsidP="00726FAD">
      <w:pPr>
        <w:numPr>
          <w:ilvl w:val="0"/>
          <w:numId w:val="1"/>
        </w:numPr>
        <w:shd w:val="clear" w:color="auto" w:fill="FFFFFF"/>
        <w:spacing w:after="0" w:line="240" w:lineRule="auto"/>
        <w:ind w:left="735"/>
        <w:rPr>
          <w:rFonts w:ascii="Arial" w:eastAsia="Times New Roman" w:hAnsi="Arial" w:cs="Arial"/>
          <w:sz w:val="20"/>
          <w:szCs w:val="20"/>
          <w:lang w:eastAsia="ru-RU"/>
        </w:rPr>
      </w:pPr>
    </w:p>
    <w:p w:rsidR="00726FAD" w:rsidRPr="00726FAD" w:rsidRDefault="00726FAD" w:rsidP="00726FAD">
      <w:pPr>
        <w:spacing w:before="300" w:after="150" w:line="240" w:lineRule="auto"/>
        <w:outlineLvl w:val="0"/>
        <w:rPr>
          <w:rFonts w:ascii="Arial" w:eastAsia="Times New Roman" w:hAnsi="Arial" w:cs="Arial"/>
          <w:b/>
          <w:bCs/>
          <w:spacing w:val="-15"/>
          <w:kern w:val="36"/>
          <w:sz w:val="45"/>
          <w:szCs w:val="45"/>
          <w:lang w:eastAsia="ru-RU"/>
        </w:rPr>
      </w:pPr>
      <w:r w:rsidRPr="00726FAD">
        <w:rPr>
          <w:rFonts w:ascii="Arial" w:eastAsia="Times New Roman" w:hAnsi="Arial" w:cs="Arial"/>
          <w:b/>
          <w:bCs/>
          <w:spacing w:val="-15"/>
          <w:kern w:val="36"/>
          <w:sz w:val="45"/>
          <w:szCs w:val="45"/>
          <w:lang w:eastAsia="ru-RU"/>
        </w:rPr>
        <w:t xml:space="preserve">Как организовать вакцинацию </w:t>
      </w:r>
      <w:proofErr w:type="gramStart"/>
      <w:r w:rsidRPr="00726FAD">
        <w:rPr>
          <w:rFonts w:ascii="Arial" w:eastAsia="Times New Roman" w:hAnsi="Arial" w:cs="Arial"/>
          <w:b/>
          <w:bCs/>
          <w:spacing w:val="-15"/>
          <w:kern w:val="36"/>
          <w:sz w:val="45"/>
          <w:szCs w:val="45"/>
          <w:lang w:eastAsia="ru-RU"/>
        </w:rPr>
        <w:t>обучающихся</w:t>
      </w:r>
      <w:proofErr w:type="gramEnd"/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из направлений охраны здоровья обучающихся – профилактика инфекционных заболеваний путем вакцинации.</w:t>
      </w:r>
    </w:p>
    <w:p w:rsidR="00726FAD" w:rsidRPr="00726FAD" w:rsidRDefault="00726FAD" w:rsidP="00726FAD">
      <w:pPr>
        <w:spacing w:before="360" w:after="90" w:line="240" w:lineRule="auto"/>
        <w:outlineLvl w:val="1"/>
        <w:rPr>
          <w:rFonts w:ascii="Arial" w:eastAsia="Times New Roman" w:hAnsi="Arial" w:cs="Arial"/>
          <w:b/>
          <w:bCs/>
          <w:sz w:val="33"/>
          <w:szCs w:val="33"/>
          <w:lang w:eastAsia="ru-RU"/>
        </w:rPr>
      </w:pPr>
      <w:r w:rsidRPr="00726FAD">
        <w:rPr>
          <w:rFonts w:ascii="Arial" w:eastAsia="Times New Roman" w:hAnsi="Arial" w:cs="Arial"/>
          <w:b/>
          <w:bCs/>
          <w:sz w:val="33"/>
          <w:szCs w:val="33"/>
          <w:lang w:eastAsia="ru-RU"/>
        </w:rPr>
        <w:t xml:space="preserve">Как проводить вакцинацию </w:t>
      </w:r>
      <w:proofErr w:type="gramStart"/>
      <w:r w:rsidRPr="00726FAD">
        <w:rPr>
          <w:rFonts w:ascii="Arial" w:eastAsia="Times New Roman" w:hAnsi="Arial" w:cs="Arial"/>
          <w:b/>
          <w:bCs/>
          <w:sz w:val="33"/>
          <w:szCs w:val="33"/>
          <w:lang w:eastAsia="ru-RU"/>
        </w:rPr>
        <w:t>обучающихся</w:t>
      </w:r>
      <w:proofErr w:type="gramEnd"/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 образовательной организации зависят от того, кто прививает детей:</w:t>
      </w:r>
    </w:p>
    <w:p w:rsidR="00726FAD" w:rsidRPr="00726FAD" w:rsidRDefault="00726FAD" w:rsidP="00726FAD">
      <w:pPr>
        <w:numPr>
          <w:ilvl w:val="0"/>
          <w:numId w:val="2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медицинское учреждение в рамках совместной деятельности с образовательной организацией;</w:t>
      </w:r>
    </w:p>
    <w:p w:rsidR="00726FAD" w:rsidRPr="00726FAD" w:rsidRDefault="00726FAD" w:rsidP="00726FAD">
      <w:pPr>
        <w:numPr>
          <w:ilvl w:val="0"/>
          <w:numId w:val="2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организация самостоятельно, если есть </w:t>
      </w:r>
      <w:hyperlink r:id="rId6" w:anchor="/document/16/2868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лицензия на медицинскую деятельность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которой предусмотрен вид работ «вакцинация (проведение профилактических прививок)».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следует из </w:t>
      </w:r>
      <w:hyperlink r:id="rId7" w:anchor="/document/99/902389617/XA00M3C2ME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статьи 41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Закона от 29 декабря 2012 г. № 273-ФЗ, </w:t>
      </w:r>
      <w:hyperlink r:id="rId8" w:anchor="/document/99/902342781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постановления Правительства РФ от 16 апреля 2012 г. № 291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детей вакцинирует медицинское учреждение, то ваши конкретные действия должны быть прописаны в договоре о совместной деятельности. Включите в </w:t>
      </w:r>
      <w:hyperlink r:id="rId9" w:anchor="/document/118/29777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договор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образовательная организация:</w:t>
      </w:r>
    </w:p>
    <w:p w:rsidR="00726FAD" w:rsidRPr="00726FAD" w:rsidRDefault="00726FAD" w:rsidP="00726FAD">
      <w:pPr>
        <w:numPr>
          <w:ilvl w:val="0"/>
          <w:numId w:val="3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получает и передает медицинскому учреждению </w:t>
      </w:r>
      <w:hyperlink r:id="rId10" w:anchor="/document/118/29792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согласия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родителей на вакцинацию;</w:t>
      </w:r>
    </w:p>
    <w:p w:rsidR="00726FAD" w:rsidRPr="00726FAD" w:rsidRDefault="00726FAD" w:rsidP="00726FAD">
      <w:pPr>
        <w:numPr>
          <w:ilvl w:val="0"/>
          <w:numId w:val="3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явку ребенка на прививку.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образовательная организация самостоятельно организует вакцинацию:</w:t>
      </w:r>
    </w:p>
    <w:p w:rsidR="00726FAD" w:rsidRPr="00726FAD" w:rsidRDefault="00726FAD" w:rsidP="00726FAD">
      <w:pPr>
        <w:numPr>
          <w:ilvl w:val="0"/>
          <w:numId w:val="4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проследите, чтобы медработник проверил, есть ли </w:t>
      </w:r>
      <w:hyperlink r:id="rId11" w:anchor="/document/16/22528/gor94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противопоказания к вакцинации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у ребенка;</w:t>
      </w:r>
    </w:p>
    <w:p w:rsidR="00726FAD" w:rsidRPr="00726FAD" w:rsidRDefault="00726FAD" w:rsidP="00726FAD">
      <w:pPr>
        <w:numPr>
          <w:ilvl w:val="0"/>
          <w:numId w:val="4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получите </w:t>
      </w:r>
      <w:hyperlink r:id="rId12" w:anchor="/document/118/29792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согласие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родителей на вакцинацию;</w:t>
      </w:r>
    </w:p>
    <w:p w:rsidR="00726FAD" w:rsidRPr="00726FAD" w:rsidRDefault="00726FAD" w:rsidP="00726FAD">
      <w:pPr>
        <w:numPr>
          <w:ilvl w:val="0"/>
          <w:numId w:val="4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anchor="/document/16/2888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проведите вакцинацию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соответствии с </w:t>
      </w:r>
      <w:hyperlink r:id="rId14" w:anchor="/document/117/21991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национальным календарем профилактических прививок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hyperlink r:id="rId15" w:anchor="/document/117/20785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календарем профилактических прививок по эпидемическим показаниям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с учетом индивидуальных особенностей ребенка и врачебных рекомендаций.</w:t>
      </w:r>
    </w:p>
    <w:p w:rsidR="00726FAD" w:rsidRPr="00726FAD" w:rsidRDefault="00726FAD" w:rsidP="00726FAD">
      <w:pPr>
        <w:spacing w:before="360" w:after="90" w:line="240" w:lineRule="auto"/>
        <w:outlineLvl w:val="1"/>
        <w:rPr>
          <w:rFonts w:ascii="Arial" w:eastAsia="Times New Roman" w:hAnsi="Arial" w:cs="Arial"/>
          <w:b/>
          <w:bCs/>
          <w:sz w:val="33"/>
          <w:szCs w:val="33"/>
          <w:lang w:eastAsia="ru-RU"/>
        </w:rPr>
      </w:pPr>
      <w:r w:rsidRPr="00726FAD">
        <w:rPr>
          <w:rFonts w:ascii="Arial" w:eastAsia="Times New Roman" w:hAnsi="Arial" w:cs="Arial"/>
          <w:b/>
          <w:bCs/>
          <w:sz w:val="33"/>
          <w:szCs w:val="33"/>
          <w:lang w:eastAsia="ru-RU"/>
        </w:rPr>
        <w:t>Как получить согласие родителей на вакцинацию ребенка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привить обучающегося, надо получить от одного из родителей ребенка информированное добровольное согласие на медицинское вмешательство. </w:t>
      </w:r>
      <w:hyperlink r:id="rId16" w:anchor="/document/118/29792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Форма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согласия установлена </w:t>
      </w:r>
      <w:hyperlink r:id="rId17" w:anchor="/document/99/902155111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 xml:space="preserve">приказом </w:t>
        </w:r>
        <w:proofErr w:type="spellStart"/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Минздравсоцразвития</w:t>
        </w:r>
        <w:proofErr w:type="spellEnd"/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 xml:space="preserve"> России от 26 января 2009 г. № 19н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Согласие хранят в </w:t>
      </w:r>
      <w:hyperlink r:id="rId18" w:anchor="/document/16/22528/gor86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медицинской документации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ребенка.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могут отказаться от медицинского вмешательства, в том числе от вакцинации, пробы Манту, проведения флюорографического либо рентгенологического обследования.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 отказ родители должны написать по </w:t>
      </w:r>
      <w:hyperlink r:id="rId19" w:anchor="/document/118/29792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форме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утвержденной </w:t>
      </w:r>
      <w:hyperlink r:id="rId20" w:anchor="/document/99/902155111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 xml:space="preserve">приказом </w:t>
        </w:r>
        <w:proofErr w:type="spellStart"/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Минздравсоцразвития</w:t>
        </w:r>
        <w:proofErr w:type="spellEnd"/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 xml:space="preserve"> России от 26 января 2009 г. № 19н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Одному из родителей медицинский работник должен разъяснить возможные последствия отказа от прививок:</w:t>
      </w:r>
    </w:p>
    <w:p w:rsidR="00726FAD" w:rsidRPr="00726FAD" w:rsidRDefault="00726FAD" w:rsidP="00726FAD">
      <w:pPr>
        <w:numPr>
          <w:ilvl w:val="0"/>
          <w:numId w:val="5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временный отказ в приеме ребенка в образовательные и оздоровительные учреждения при массовых инфекционных заболеваниях или при угрозе возникновения эпидемий;</w:t>
      </w:r>
    </w:p>
    <w:p w:rsidR="00726FAD" w:rsidRPr="00726FAD" w:rsidRDefault="00726FAD" w:rsidP="00726FAD">
      <w:pPr>
        <w:numPr>
          <w:ilvl w:val="0"/>
          <w:numId w:val="5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запрет на вые</w:t>
      </w:r>
      <w:proofErr w:type="gramStart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зд в стр</w:t>
      </w:r>
      <w:proofErr w:type="gramEnd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аны, пребывание в которых требует конкретных профилактических прививок.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последствия отказа от вакцинации следуют из </w:t>
      </w:r>
      <w:hyperlink r:id="rId21" w:anchor="/document/99/902312609/XA00MF82O2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части 3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20 Закона от 21 ноября 2011 г. № 323-ФЗ, </w:t>
      </w:r>
      <w:hyperlink r:id="rId22" w:anchor="/document/99/901717430/XA00M7G2MM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статьи 5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Закона от 17 сентября 1998 г. № 157-ФЗ.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Медицинский работник делает запись о том, что родитель отказался от вакцинации ребенка и предупрежден о последствиях:</w:t>
      </w:r>
    </w:p>
    <w:p w:rsidR="00726FAD" w:rsidRPr="00726FAD" w:rsidRDefault="00726FAD" w:rsidP="00726FAD">
      <w:pPr>
        <w:numPr>
          <w:ilvl w:val="0"/>
          <w:numId w:val="6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истории развития ребенка (форма № 112/у);</w:t>
      </w:r>
    </w:p>
    <w:p w:rsidR="00726FAD" w:rsidRPr="00726FAD" w:rsidRDefault="00726FAD" w:rsidP="00726FAD">
      <w:pPr>
        <w:numPr>
          <w:ilvl w:val="0"/>
          <w:numId w:val="6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медицинской карте ребенка (</w:t>
      </w:r>
      <w:hyperlink r:id="rId23" w:anchor="/document/99/901766222/ZAP281A3HF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форма № 026/у-2000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726FAD" w:rsidRPr="00726FAD" w:rsidRDefault="00726FAD" w:rsidP="00726FAD">
      <w:pPr>
        <w:numPr>
          <w:ilvl w:val="0"/>
          <w:numId w:val="6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медицинской карте амбулаторного больного (форма № 025/у-04).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 расписывается под записью об отказе от профилактической прививки. Если он этого не сделает, отказ оформляют за подписью двух медработников.</w:t>
      </w:r>
    </w:p>
    <w:p w:rsidR="00726FAD" w:rsidRPr="00726FAD" w:rsidRDefault="00726FAD" w:rsidP="00726FAD">
      <w:pPr>
        <w:shd w:val="clear" w:color="auto" w:fill="F4F7F8"/>
        <w:spacing w:after="15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726FA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Ситуация:</w:t>
      </w:r>
      <w:r w:rsidRPr="00726FAD">
        <w:rPr>
          <w:rFonts w:ascii="Arial" w:eastAsia="Times New Roman" w:hAnsi="Arial" w:cs="Arial"/>
          <w:sz w:val="21"/>
          <w:szCs w:val="21"/>
          <w:lang w:eastAsia="ru-RU"/>
        </w:rPr>
        <w:t> что делать при конфликте родителей по вопросу вакцинации ребенка</w:t>
      </w:r>
    </w:p>
    <w:p w:rsidR="00726FAD" w:rsidRPr="00726FAD" w:rsidRDefault="00726FAD" w:rsidP="00726FAD">
      <w:pPr>
        <w:spacing w:before="360" w:after="90" w:line="240" w:lineRule="auto"/>
        <w:outlineLvl w:val="1"/>
        <w:rPr>
          <w:rFonts w:ascii="Arial" w:eastAsia="Times New Roman" w:hAnsi="Arial" w:cs="Arial"/>
          <w:b/>
          <w:bCs/>
          <w:sz w:val="33"/>
          <w:szCs w:val="33"/>
          <w:lang w:eastAsia="ru-RU"/>
        </w:rPr>
      </w:pPr>
      <w:r w:rsidRPr="00726FAD">
        <w:rPr>
          <w:rFonts w:ascii="Arial" w:eastAsia="Times New Roman" w:hAnsi="Arial" w:cs="Arial"/>
          <w:b/>
          <w:bCs/>
          <w:sz w:val="33"/>
          <w:szCs w:val="33"/>
          <w:lang w:eastAsia="ru-RU"/>
        </w:rPr>
        <w:t>Какие существуют противопоказания к вакцинации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Существуют действительные и ложные противопоказания, а также те, которые требуют отсрочки. Медицинский работник оценивает состояние ребенка и при необходимости направляет на обследование врачей-специалистов.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проводить вакцинацию согласно </w:t>
      </w:r>
      <w:hyperlink r:id="rId24" w:anchor="/document/97/86936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Методическим указаниям 3.3.1.1095-02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 Главным санитарным врачом России 9 января 2002 г., при следующих действительных противопоказаниях:</w:t>
      </w:r>
    </w:p>
    <w:tbl>
      <w:tblPr>
        <w:tblW w:w="0" w:type="auto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3859"/>
        <w:gridCol w:w="5258"/>
      </w:tblGrid>
      <w:tr w:rsidR="00726FAD" w:rsidRPr="00726FAD" w:rsidTr="00726FAD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Вакцина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Противопоказания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вакцины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Сильная реакция или поствакцинальное осложнение на предыдущее введение.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Сильной реакцией считают наличие температуры выше 40</w:t>
            </w:r>
            <w:proofErr w:type="gramStart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°С</w:t>
            </w:r>
            <w:proofErr w:type="gramEnd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в месте введения вакцины – отек и гиперемия диаметром выше 8 см.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поствакцинальным осложнениям относят тяжелые и стойкие нарушения состояния здоровья вследствие профилактических прививок. Например, анафилактический шок, тяжелые аллергические реакции, энцефалит, хронический артрит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живые вакцины, в том числе оральная живая полиомиелитная вакцина (ОПВ)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Иммунодефицитное</w:t>
            </w:r>
            <w:proofErr w:type="spellEnd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состояние (первичное).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Иммуносупрессия</w:t>
            </w:r>
            <w:proofErr w:type="spellEnd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злокачественные новообразования.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Беременность.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Вес ребенка при рождении менее 2000 гр.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Келоидный рубец, в том числе после предыдущей дозы.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Прогрессирующие заболевания нервной системы, </w:t>
            </w:r>
            <w:proofErr w:type="spellStart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афебрильные</w:t>
            </w:r>
            <w:proofErr w:type="spellEnd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судороги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БЦЖ (вакцина против туберкулеза)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АКДС (вакцина против дифтерии, столбняка и коклюша)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Живая коревая вакцина, живая </w:t>
            </w:r>
            <w:proofErr w:type="spellStart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паротитная</w:t>
            </w:r>
            <w:proofErr w:type="spellEnd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вакцина, краснушная, а также комбинированные </w:t>
            </w:r>
            <w:proofErr w:type="spellStart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</w:t>
            </w:r>
            <w:proofErr w:type="spellEnd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и тривакцины (корь – паротит, корь – краснуха – паротит)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Тяжелые формы аллергических реакций на </w:t>
            </w:r>
            <w:proofErr w:type="spellStart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аминогликозиды</w:t>
            </w:r>
            <w:proofErr w:type="spellEnd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Анафилактические реакции на яичный белок (кроме краснушной вакцины)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Вакцина против вирусного гепатита B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Аллергическая реакция на пекарские дрожжи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АДС, АДС-М, </w:t>
            </w:r>
            <w:proofErr w:type="gramStart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АД-М</w:t>
            </w:r>
            <w:proofErr w:type="gramEnd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(вакцины против дифтерии, столбняка)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Постоянных противопоказаний, </w:t>
            </w:r>
            <w:proofErr w:type="gramStart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кроме</w:t>
            </w:r>
            <w:proofErr w:type="gramEnd"/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названных в пунктах 1 и 2, нет</w:t>
            </w:r>
          </w:p>
        </w:tc>
      </w:tr>
    </w:tbl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 состояния здоровья ребенка ошибочно рассматривают как противопоказания к вакцинации. Их называют «ложными» противопоказаниями. Они приведены в </w:t>
      </w:r>
      <w:hyperlink r:id="rId25" w:anchor="/document/97/86936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Методических указаниях 3.3.1.1095-02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утвержденных Главным санитарным врачом России 9 января 2002 г. При некоторых состояниях здоровья необходимо отсрочить вакцинацию и решить диагностические и терапевтические задачи.</w:t>
      </w:r>
    </w:p>
    <w:tbl>
      <w:tblPr>
        <w:tblW w:w="0" w:type="auto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2344"/>
        <w:gridCol w:w="4908"/>
      </w:tblGrid>
      <w:tr w:rsidR="00726FAD" w:rsidRPr="00726FAD" w:rsidTr="00726FAD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Состояние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Указание в истории болезни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26FAD" w:rsidRPr="00726FAD" w:rsidRDefault="00726FAD" w:rsidP="00726F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Совет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Перинатальная энцефалопатия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Недоношенность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Примите решение о вакцинации после осмотра невропатолога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Стабильные неврологические состояния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Гемолитическая болезнь новорожденных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Проводите вакцинацию.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Стабильные неврологические состояния не несут в себе риска осложнений вакцинации, о чем свидетельствует опыт прививок детей с ДЦП, болезнью Дауна и в других подобных состояниях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Аллергия, астма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Сепсис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Проводите вакцинацию.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Выберите оптимальное время проведения и лекарственное «прикрытие» – антигистаминные препараты при кожных проявлениях и ингаляционную терапию при бронхиальной астме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Анемия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После вакцинации ребенку назначьте соответствующее лечение.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Если анемия тяжелая, выясните причины. После чего примите решение о времени вакцинации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Увеличение тени тимуса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Болезнь гиалиновых мембран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Проводите вакцинацию, если степень увеличения тимуса невысокая – до третьей.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третьей степени – вакцинация противопоказана до выяснения причины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Врожденные пороки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Поствакцинальные осложнения в семье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Вакцинацию проводите, когда будет достигнута компенсация расстройств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Дисбактериоз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Аллергия в семье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Проводите вакцинацию, если у ребенка с нормальным стулом отсутствуют другие жалобы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Поддерживающая терапия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Эпилепсия в семье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Проводите вакцинацию.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Исключение – наличие в семье больного с иммунодефицитом. В таком случае обследуйте ребенка до прививки, если вводите БЦЖ и инактивированные вакцины вместо живых</w:t>
            </w:r>
          </w:p>
        </w:tc>
      </w:tr>
      <w:tr w:rsidR="00726FAD" w:rsidRPr="00726FAD" w:rsidTr="00726FAD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Стероиды местного применения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Внезапная смерть в семье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Проводите вакцинацию.</w:t>
            </w:r>
          </w:p>
          <w:p w:rsidR="00726FAD" w:rsidRPr="00726FAD" w:rsidRDefault="00726FAD" w:rsidP="00726FA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6F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Местное применение стероидов в виде мазей, капель в глаза, спреев или ингаляций не препятствует вакцинации</w:t>
            </w:r>
          </w:p>
        </w:tc>
      </w:tr>
    </w:tbl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Детей, которые перенесли тяжелые заболевания (сепсис, гемолитическую анемию, пневмонию, болезнь гиалиновых мембран и др.) и выздоровели, находятся в стабильном состоянии, вакцинируют в обычном порядке.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Состояния, которые требуют отсрочки вакцинации:</w:t>
      </w:r>
    </w:p>
    <w:p w:rsidR="00726FAD" w:rsidRPr="00726FAD" w:rsidRDefault="00726FAD" w:rsidP="00726FAD">
      <w:pPr>
        <w:numPr>
          <w:ilvl w:val="0"/>
          <w:numId w:val="7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Острые инфекционные и неинфекционные заболевания, обострение хронических заболеваний. Плановые прививки проводят через 2–4 недели после выздоровления или в период выздоровления или ослабления симптомов.</w:t>
      </w:r>
    </w:p>
    <w:p w:rsidR="00726FAD" w:rsidRPr="00726FAD" w:rsidRDefault="00726FAD" w:rsidP="00726FAD">
      <w:pPr>
        <w:numPr>
          <w:ilvl w:val="0"/>
          <w:numId w:val="7"/>
        </w:numPr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Нетяжелые ОРВИ, острые кишечные заболевания. Прививки проводят сразу после нормализации температуры.</w:t>
      </w:r>
    </w:p>
    <w:p w:rsidR="00726FAD" w:rsidRPr="00726FAD" w:rsidRDefault="00726FAD" w:rsidP="00726FAD">
      <w:pPr>
        <w:spacing w:before="360" w:after="90" w:line="240" w:lineRule="auto"/>
        <w:outlineLvl w:val="1"/>
        <w:rPr>
          <w:rFonts w:ascii="Arial" w:eastAsia="Times New Roman" w:hAnsi="Arial" w:cs="Arial"/>
          <w:b/>
          <w:bCs/>
          <w:sz w:val="33"/>
          <w:szCs w:val="33"/>
          <w:lang w:eastAsia="ru-RU"/>
        </w:rPr>
      </w:pPr>
      <w:r w:rsidRPr="00726FAD">
        <w:rPr>
          <w:rFonts w:ascii="Arial" w:eastAsia="Times New Roman" w:hAnsi="Arial" w:cs="Arial"/>
          <w:b/>
          <w:bCs/>
          <w:sz w:val="33"/>
          <w:szCs w:val="33"/>
          <w:lang w:eastAsia="ru-RU"/>
        </w:rPr>
        <w:t xml:space="preserve">Как быть с </w:t>
      </w:r>
      <w:proofErr w:type="spellStart"/>
      <w:r w:rsidRPr="00726FAD">
        <w:rPr>
          <w:rFonts w:ascii="Arial" w:eastAsia="Times New Roman" w:hAnsi="Arial" w:cs="Arial"/>
          <w:b/>
          <w:bCs/>
          <w:sz w:val="33"/>
          <w:szCs w:val="33"/>
          <w:lang w:eastAsia="ru-RU"/>
        </w:rPr>
        <w:t>невакцинированными</w:t>
      </w:r>
      <w:proofErr w:type="spellEnd"/>
      <w:r w:rsidRPr="00726FAD">
        <w:rPr>
          <w:rFonts w:ascii="Arial" w:eastAsia="Times New Roman" w:hAnsi="Arial" w:cs="Arial"/>
          <w:b/>
          <w:bCs/>
          <w:sz w:val="33"/>
          <w:szCs w:val="33"/>
          <w:lang w:eastAsia="ru-RU"/>
        </w:rPr>
        <w:t xml:space="preserve"> детьми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Невакцинированные</w:t>
      </w:r>
      <w:proofErr w:type="spellEnd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посещают образовательную организацию. Только при массовых инфекционных заболеваниях и угрозе эпидемии временно не принимайте таких детей в образовательную организацию. Об этом сказано в </w:t>
      </w:r>
      <w:hyperlink r:id="rId26" w:anchor="/document/99/901717430/XA00M922N3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пункте 2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5 Закона от 17 сентября 1998 г. № 157-ФЗ.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Открывайте отдельные группы, классы для детей, которые не привиты против </w:t>
      </w:r>
      <w:hyperlink r:id="rId27" w:anchor="/document/16/2916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полиомиелита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или получили менее трех доз полиомиелитной вакцины. Переведите таких детей в отдельную группу или класс на 60 дней с момента, когда привитые дети получили вакцину. Направьте родителям </w:t>
      </w:r>
      <w:proofErr w:type="spellStart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невакцинированных</w:t>
      </w:r>
      <w:proofErr w:type="spellEnd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 </w:t>
      </w:r>
      <w:hyperlink r:id="rId28" w:anchor="/document/118/48288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уведомление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о предстоящем переводе в другую группу, класс.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следует из </w:t>
      </w:r>
      <w:hyperlink r:id="rId29" w:anchor="/document/99/902292234/XA00M9A2N9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пункта 9.5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 3.1.2951-11, утвержденных </w:t>
      </w:r>
      <w:hyperlink r:id="rId30" w:anchor="/document/99/902292234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постановлением Главного санитарного врача России от 28 июля 2011 г. № 107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нет возможности открыть отдельные группы (классы), то по согласованию с родителями утвердите индивидуальный график посещения образовательной организации либо предложите на данный период (60 дней) перейти на обучение в иной форме. Примените другие доступные способы изоляции.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Детям, которые не привиты против </w:t>
      </w:r>
      <w:hyperlink r:id="rId31" w:anchor="/document/16/2927/" w:history="1">
        <w:r w:rsidRPr="00726FAD">
          <w:rPr>
            <w:rFonts w:ascii="Times New Roman" w:eastAsia="Times New Roman" w:hAnsi="Times New Roman" w:cs="Times New Roman"/>
            <w:color w:val="2B79D9"/>
            <w:sz w:val="24"/>
            <w:szCs w:val="24"/>
            <w:u w:val="single"/>
            <w:lang w:eastAsia="ru-RU"/>
          </w:rPr>
          <w:t>туберкулеза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связи с противопоказаниями или отказом родителей, ставят пробу Манту или проводят </w:t>
      </w:r>
      <w:proofErr w:type="spellStart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диаскин</w:t>
      </w:r>
      <w:proofErr w:type="spellEnd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-тест два раза в год до тех пор, пока ребенок не будет привит.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обучающийся не проходил </w:t>
      </w:r>
      <w:proofErr w:type="spellStart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"https://vip.1obraz.ru/" \l "/document/16/2929/" </w:instrText>
      </w: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726FAD">
        <w:rPr>
          <w:rFonts w:ascii="Times New Roman" w:eastAsia="Times New Roman" w:hAnsi="Times New Roman" w:cs="Times New Roman"/>
          <w:color w:val="2B79D9"/>
          <w:sz w:val="24"/>
          <w:szCs w:val="24"/>
          <w:u w:val="single"/>
          <w:lang w:eastAsia="ru-RU"/>
        </w:rPr>
        <w:t>туберкулинодиагностику</w:t>
      </w:r>
      <w:proofErr w:type="spellEnd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пробу Манту, </w:t>
      </w:r>
      <w:proofErr w:type="spellStart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диаскин</w:t>
      </w:r>
      <w:proofErr w:type="spellEnd"/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-тест, допускайте его в образовательную организацию только при наличии заключения врача-фтизиатра об отсутствии заболевания.</w:t>
      </w:r>
    </w:p>
    <w:p w:rsidR="00726FAD" w:rsidRPr="00726FAD" w:rsidRDefault="00726FAD" w:rsidP="00726FA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установлено в пунктах </w:t>
      </w:r>
      <w:hyperlink r:id="rId32" w:anchor="/document/99/499056594/XA00M2O2MB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5.2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33" w:anchor="/document/99/499056594/XA00MA02N0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5.7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 3.1.2.3114-13, утвержденных </w:t>
      </w:r>
      <w:hyperlink r:id="rId34" w:anchor="/document/99/499056594/" w:history="1">
        <w:r w:rsidRPr="00726FAD">
          <w:rPr>
            <w:rFonts w:ascii="Times New Roman" w:eastAsia="Times New Roman" w:hAnsi="Times New Roman" w:cs="Times New Roman"/>
            <w:color w:val="147900"/>
            <w:sz w:val="24"/>
            <w:szCs w:val="24"/>
            <w:u w:val="single"/>
            <w:lang w:eastAsia="ru-RU"/>
          </w:rPr>
          <w:t>постановлением Главного санитарного врача России от 22 октября 2013 г. № 60</w:t>
        </w:r>
      </w:hyperlink>
      <w:r w:rsidRPr="00726F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6FAD" w:rsidRPr="00726FAD" w:rsidRDefault="00726FAD" w:rsidP="00726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726FAD" w:rsidRPr="00726FAD" w:rsidRDefault="00726FAD" w:rsidP="00726FAD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26F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«Как организовать вакцинацию </w:t>
      </w:r>
      <w:proofErr w:type="gramStart"/>
      <w:r w:rsidRPr="00726F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726F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». И.К. </w:t>
      </w:r>
      <w:proofErr w:type="spellStart"/>
      <w:r w:rsidRPr="00726F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Рапопорт</w:t>
      </w:r>
      <w:proofErr w:type="spellEnd"/>
      <w:r w:rsidRPr="00726F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А.Ю. Макарова</w:t>
      </w:r>
      <w:r w:rsidRPr="00726F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© Материал из Справочной системы «Образование».</w:t>
      </w:r>
      <w:r w:rsidRPr="00726F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Подробнее: </w:t>
      </w:r>
      <w:hyperlink r:id="rId35" w:anchor="/document/16/22528/bssPhr1/?of=copy-938897928f" w:history="1">
        <w:r w:rsidRPr="00726FAD">
          <w:rPr>
            <w:rFonts w:ascii="Arial" w:eastAsia="Times New Roman" w:hAnsi="Arial" w:cs="Arial"/>
            <w:color w:val="2B79D9"/>
            <w:sz w:val="21"/>
            <w:szCs w:val="21"/>
            <w:u w:val="single"/>
            <w:lang w:eastAsia="ru-RU"/>
          </w:rPr>
          <w:t>https://vip.1obraz.ru/#/document/16/22528/bssPhr1/?of=copy-938897928f</w:t>
        </w:r>
      </w:hyperlink>
    </w:p>
    <w:p w:rsidR="00861EC6" w:rsidRDefault="00861EC6"/>
    <w:sectPr w:rsidR="00861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8504C"/>
    <w:multiLevelType w:val="multilevel"/>
    <w:tmpl w:val="873EB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C12FD2"/>
    <w:multiLevelType w:val="multilevel"/>
    <w:tmpl w:val="96362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946BC2"/>
    <w:multiLevelType w:val="multilevel"/>
    <w:tmpl w:val="5FFA8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2D35B9"/>
    <w:multiLevelType w:val="multilevel"/>
    <w:tmpl w:val="91921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660400"/>
    <w:multiLevelType w:val="multilevel"/>
    <w:tmpl w:val="69A67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075BCF"/>
    <w:multiLevelType w:val="multilevel"/>
    <w:tmpl w:val="9FCCF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B2488C"/>
    <w:multiLevelType w:val="multilevel"/>
    <w:tmpl w:val="D994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FAD"/>
    <w:rsid w:val="00726FAD"/>
    <w:rsid w:val="0086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F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F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9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85141">
              <w:marLeft w:val="60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656835">
                  <w:marLeft w:val="0"/>
                  <w:marRight w:val="18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01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0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858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3100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2438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99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8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54632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03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04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825973">
          <w:marLeft w:val="0"/>
          <w:marRight w:val="0"/>
          <w:marTop w:val="300"/>
          <w:marBottom w:val="150"/>
          <w:divBdr>
            <w:top w:val="single" w:sz="6" w:space="8" w:color="F4F7F8"/>
            <w:left w:val="single" w:sz="6" w:space="15" w:color="F4F7F8"/>
            <w:bottom w:val="single" w:sz="6" w:space="8" w:color="F4F7F8"/>
            <w:right w:val="single" w:sz="6" w:space="31" w:color="F4F7F8"/>
          </w:divBdr>
          <w:divsChild>
            <w:div w:id="135071673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1576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119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1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braz.ru/" TargetMode="External"/><Relationship Id="rId13" Type="http://schemas.openxmlformats.org/officeDocument/2006/relationships/hyperlink" Target="https://vip.1obraz.ru/" TargetMode="External"/><Relationship Id="rId18" Type="http://schemas.openxmlformats.org/officeDocument/2006/relationships/hyperlink" Target="https://vip.1obraz.ru/" TargetMode="External"/><Relationship Id="rId26" Type="http://schemas.openxmlformats.org/officeDocument/2006/relationships/hyperlink" Target="https://vip.1obraz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ip.1obraz.ru/" TargetMode="External"/><Relationship Id="rId34" Type="http://schemas.openxmlformats.org/officeDocument/2006/relationships/hyperlink" Target="https://vip.1obraz.ru/" TargetMode="External"/><Relationship Id="rId7" Type="http://schemas.openxmlformats.org/officeDocument/2006/relationships/hyperlink" Target="https://vip.1obraz.ru/" TargetMode="External"/><Relationship Id="rId12" Type="http://schemas.openxmlformats.org/officeDocument/2006/relationships/hyperlink" Target="https://vip.1obraz.ru/" TargetMode="External"/><Relationship Id="rId17" Type="http://schemas.openxmlformats.org/officeDocument/2006/relationships/hyperlink" Target="https://vip.1obraz.ru/" TargetMode="External"/><Relationship Id="rId25" Type="http://schemas.openxmlformats.org/officeDocument/2006/relationships/hyperlink" Target="https://vip.1obraz.ru/" TargetMode="External"/><Relationship Id="rId33" Type="http://schemas.openxmlformats.org/officeDocument/2006/relationships/hyperlink" Target="https://vip.1obraz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p.1obraz.ru/" TargetMode="External"/><Relationship Id="rId20" Type="http://schemas.openxmlformats.org/officeDocument/2006/relationships/hyperlink" Target="https://vip.1obraz.ru/" TargetMode="External"/><Relationship Id="rId29" Type="http://schemas.openxmlformats.org/officeDocument/2006/relationships/hyperlink" Target="https://vip.1obraz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p.1obraz.ru/" TargetMode="External"/><Relationship Id="rId11" Type="http://schemas.openxmlformats.org/officeDocument/2006/relationships/hyperlink" Target="https://vip.1obraz.ru/" TargetMode="External"/><Relationship Id="rId24" Type="http://schemas.openxmlformats.org/officeDocument/2006/relationships/hyperlink" Target="https://vip.1obraz.ru/" TargetMode="External"/><Relationship Id="rId32" Type="http://schemas.openxmlformats.org/officeDocument/2006/relationships/hyperlink" Target="https://vip.1obraz.ru/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vip.1obraz.ru/" TargetMode="External"/><Relationship Id="rId23" Type="http://schemas.openxmlformats.org/officeDocument/2006/relationships/hyperlink" Target="https://vip.1obraz.ru/" TargetMode="External"/><Relationship Id="rId28" Type="http://schemas.openxmlformats.org/officeDocument/2006/relationships/hyperlink" Target="https://vip.1obraz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vip.1obraz.ru/" TargetMode="External"/><Relationship Id="rId19" Type="http://schemas.openxmlformats.org/officeDocument/2006/relationships/hyperlink" Target="https://vip.1obraz.ru/" TargetMode="External"/><Relationship Id="rId31" Type="http://schemas.openxmlformats.org/officeDocument/2006/relationships/hyperlink" Target="https://vip.1obraz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p.1obraz.ru/" TargetMode="External"/><Relationship Id="rId14" Type="http://schemas.openxmlformats.org/officeDocument/2006/relationships/hyperlink" Target="https://vip.1obraz.ru/" TargetMode="External"/><Relationship Id="rId22" Type="http://schemas.openxmlformats.org/officeDocument/2006/relationships/hyperlink" Target="https://vip.1obraz.ru/" TargetMode="External"/><Relationship Id="rId27" Type="http://schemas.openxmlformats.org/officeDocument/2006/relationships/hyperlink" Target="https://vip.1obraz.ru/" TargetMode="External"/><Relationship Id="rId30" Type="http://schemas.openxmlformats.org/officeDocument/2006/relationships/hyperlink" Target="https://vip.1obraz.ru/" TargetMode="External"/><Relationship Id="rId35" Type="http://schemas.openxmlformats.org/officeDocument/2006/relationships/hyperlink" Target="https://vip.1obra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1695</Words>
  <Characters>9664</Characters>
  <Application>Microsoft Office Word</Application>
  <DocSecurity>0</DocSecurity>
  <Lines>80</Lines>
  <Paragraphs>22</Paragraphs>
  <ScaleCrop>false</ScaleCrop>
  <Company>SPecialiST RePack</Company>
  <LinksUpToDate>false</LinksUpToDate>
  <CharactersWithSpaces>11337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2018-12-15T09:20:00Z</dcterms:created>
  <dcterms:modified xsi:type="dcterms:W3CDTF">2018-12-15T09:22:00Z</dcterms:modified>
</cp:coreProperties>
</file>