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1"/>
        <w:gridCol w:w="9080"/>
      </w:tblGrid>
      <w:tr w:rsidR="00AE4263" w:rsidRPr="00FC691B" w:rsidTr="0047555F">
        <w:tc>
          <w:tcPr>
            <w:tcW w:w="0" w:type="auto"/>
            <w:vAlign w:val="center"/>
          </w:tcPr>
          <w:p w:rsidR="00AE4263" w:rsidRPr="00AE1928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AE1928">
              <w:rPr>
                <w:rFonts w:ascii="Times New Roman" w:hAnsi="Times New Roman"/>
              </w:rPr>
              <w:t>1.1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AE4263" w:rsidRPr="00FC691B" w:rsidRDefault="00AE4263" w:rsidP="00AE42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53E6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7F7F7"/>
              </w:rPr>
              <w:t>Контрактная система. Базовые принципы.</w:t>
            </w:r>
            <w:r w:rsidRPr="00FC691B">
              <w:rPr>
                <w:rFonts w:ascii="Times New Roman" w:hAnsi="Times New Roman"/>
                <w:sz w:val="24"/>
                <w:szCs w:val="24"/>
                <w:shd w:val="clear" w:color="auto" w:fill="F7F7F7"/>
              </w:rPr>
              <w:t xml:space="preserve"> Основные положения контрактной системы. Правовое положение и обязанности заказчика. Требования к участникам. Национальный режим в госзакупках</w:t>
            </w:r>
            <w:r>
              <w:rPr>
                <w:rFonts w:ascii="Times New Roman" w:hAnsi="Times New Roman"/>
                <w:sz w:val="24"/>
                <w:szCs w:val="24"/>
                <w:shd w:val="clear" w:color="auto" w:fill="F7F7F7"/>
              </w:rPr>
              <w:t xml:space="preserve"> последние изменения с 01.01.2020г.</w:t>
            </w:r>
          </w:p>
        </w:tc>
      </w:tr>
      <w:tr w:rsidR="00AE4263" w:rsidRPr="00FC691B" w:rsidTr="0047555F">
        <w:tc>
          <w:tcPr>
            <w:tcW w:w="0" w:type="auto"/>
            <w:vAlign w:val="center"/>
          </w:tcPr>
          <w:p w:rsidR="00AE4263" w:rsidRPr="00AE1928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AE1928">
              <w:rPr>
                <w:rFonts w:ascii="Times New Roman" w:hAnsi="Times New Roman"/>
              </w:rPr>
              <w:t>1.2</w:t>
            </w:r>
          </w:p>
        </w:tc>
        <w:tc>
          <w:tcPr>
            <w:tcW w:w="0" w:type="auto"/>
            <w:vAlign w:val="center"/>
          </w:tcPr>
          <w:p w:rsidR="00AE4263" w:rsidRPr="00FC691B" w:rsidRDefault="00AE4263" w:rsidP="00AE4263">
            <w:pPr>
              <w:ind w:left="9" w:hanging="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53E6">
              <w:rPr>
                <w:rFonts w:ascii="Times New Roman" w:hAnsi="Times New Roman"/>
                <w:b/>
                <w:i/>
                <w:sz w:val="24"/>
                <w:szCs w:val="24"/>
              </w:rPr>
              <w:t>Планирование и обоснование закупок.</w:t>
            </w:r>
            <w:r w:rsidRPr="00FC691B">
              <w:rPr>
                <w:rFonts w:ascii="Times New Roman" w:hAnsi="Times New Roman"/>
                <w:sz w:val="24"/>
                <w:szCs w:val="24"/>
              </w:rPr>
              <w:t xml:space="preserve"> Нормирование. План-график. Отчетность.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Изменения с 01.10.2019г.</w:t>
            </w:r>
          </w:p>
        </w:tc>
      </w:tr>
      <w:tr w:rsidR="00AE4263" w:rsidRPr="00FC691B" w:rsidTr="0047555F">
        <w:tc>
          <w:tcPr>
            <w:tcW w:w="0" w:type="auto"/>
            <w:vAlign w:val="center"/>
          </w:tcPr>
          <w:p w:rsidR="00AE4263" w:rsidRPr="00AE1928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0" w:type="auto"/>
            <w:vAlign w:val="center"/>
          </w:tcPr>
          <w:p w:rsidR="00AE4263" w:rsidRPr="00BC53E6" w:rsidRDefault="00AE4263" w:rsidP="0047555F">
            <w:pPr>
              <w:ind w:left="9" w:hanging="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C53E6">
              <w:rPr>
                <w:rFonts w:ascii="Times New Roman" w:hAnsi="Times New Roman"/>
                <w:b/>
                <w:i/>
                <w:sz w:val="24"/>
                <w:szCs w:val="24"/>
              </w:rPr>
              <w:t>Процедура определения поставщика. Алгоритм работы заказчика.</w:t>
            </w:r>
          </w:p>
          <w:p w:rsidR="00AE4263" w:rsidRDefault="00AE4263" w:rsidP="0047555F">
            <w:pPr>
              <w:ind w:left="9" w:hanging="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Общие предписания к осуществлению закупок. Требования к участникам закупок. Преимущества отдельным участникам закупки.</w:t>
            </w:r>
          </w:p>
          <w:p w:rsidR="00AE4263" w:rsidRPr="00FC691B" w:rsidRDefault="00AE4263" w:rsidP="0047555F">
            <w:pPr>
              <w:ind w:left="9" w:hanging="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Описание объекта закупки. Техническое задание.</w:t>
            </w:r>
          </w:p>
        </w:tc>
      </w:tr>
      <w:tr w:rsidR="00AE4263" w:rsidRPr="00E975D9" w:rsidTr="0047555F">
        <w:tc>
          <w:tcPr>
            <w:tcW w:w="0" w:type="auto"/>
            <w:vAlign w:val="center"/>
          </w:tcPr>
          <w:p w:rsidR="00AE4263" w:rsidRPr="00E975D9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2</w:t>
            </w:r>
          </w:p>
        </w:tc>
        <w:tc>
          <w:tcPr>
            <w:tcW w:w="0" w:type="auto"/>
            <w:vAlign w:val="center"/>
          </w:tcPr>
          <w:p w:rsidR="00AE4263" w:rsidRPr="00E975D9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Способы проведения закупок. Правила организации и проведения процедуры определения поставщика. Конкурентные способы закупок. Закупка у единственного поставщика.</w:t>
            </w:r>
          </w:p>
        </w:tc>
      </w:tr>
      <w:tr w:rsidR="00AE4263" w:rsidRPr="00BC53E6" w:rsidTr="0047555F">
        <w:tc>
          <w:tcPr>
            <w:tcW w:w="0" w:type="auto"/>
            <w:vAlign w:val="center"/>
          </w:tcPr>
          <w:p w:rsidR="00AE4263" w:rsidRPr="00E975D9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0" w:type="auto"/>
            <w:vAlign w:val="center"/>
          </w:tcPr>
          <w:p w:rsidR="00AE4263" w:rsidRPr="00BC53E6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C53E6">
              <w:rPr>
                <w:rFonts w:ascii="Times New Roman" w:hAnsi="Times New Roman"/>
                <w:b/>
                <w:i/>
              </w:rPr>
              <w:t>Открытый конкурс в электронной форме</w:t>
            </w:r>
            <w:r>
              <w:rPr>
                <w:rFonts w:ascii="Times New Roman" w:hAnsi="Times New Roman"/>
                <w:b/>
                <w:i/>
              </w:rPr>
              <w:t xml:space="preserve">. </w:t>
            </w:r>
            <w:r>
              <w:rPr>
                <w:rFonts w:ascii="Times New Roman" w:hAnsi="Times New Roman"/>
              </w:rPr>
              <w:t xml:space="preserve">Алгоритм проведения открытого конкурса в электронной форме. Последствия признания открытого конкурса в электронной форме </w:t>
            </w:r>
            <w:proofErr w:type="gramStart"/>
            <w:r>
              <w:rPr>
                <w:rFonts w:ascii="Times New Roman" w:hAnsi="Times New Roman"/>
              </w:rPr>
              <w:t>несостоявшимся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</w:tr>
      <w:tr w:rsidR="00AE4263" w:rsidRPr="00E975D9" w:rsidTr="0047555F">
        <w:tc>
          <w:tcPr>
            <w:tcW w:w="0" w:type="auto"/>
            <w:vAlign w:val="center"/>
          </w:tcPr>
          <w:p w:rsidR="00AE4263" w:rsidRPr="00E975D9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0" w:type="auto"/>
            <w:vAlign w:val="center"/>
          </w:tcPr>
          <w:p w:rsidR="00AE4263" w:rsidRPr="00E975D9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E6287D">
              <w:rPr>
                <w:rFonts w:ascii="Times New Roman" w:hAnsi="Times New Roman"/>
                <w:b/>
                <w:i/>
              </w:rPr>
              <w:t>Аукцион в электронной форме (Электронный аукцион).</w:t>
            </w:r>
            <w:r>
              <w:rPr>
                <w:rFonts w:ascii="Times New Roman" w:hAnsi="Times New Roman"/>
              </w:rPr>
              <w:t xml:space="preserve"> Аккредитация поставщика. Содержание извещения и документации об электронном аукционе. Порядок подачи заявки. Рассмотрение 1 частей заявок. Проведение аукциона. Рассмотрение 2 частей заявок. Признание аукциона </w:t>
            </w:r>
            <w:proofErr w:type="gramStart"/>
            <w:r>
              <w:rPr>
                <w:rFonts w:ascii="Times New Roman" w:hAnsi="Times New Roman"/>
              </w:rPr>
              <w:t>несостоявшимся</w:t>
            </w:r>
            <w:proofErr w:type="gramEnd"/>
            <w:r>
              <w:rPr>
                <w:rFonts w:ascii="Times New Roman" w:hAnsi="Times New Roman"/>
              </w:rPr>
              <w:t xml:space="preserve">. </w:t>
            </w:r>
          </w:p>
        </w:tc>
      </w:tr>
      <w:tr w:rsidR="00AE4263" w:rsidRPr="00E975D9" w:rsidTr="0047555F">
        <w:tc>
          <w:tcPr>
            <w:tcW w:w="0" w:type="auto"/>
            <w:vAlign w:val="center"/>
          </w:tcPr>
          <w:p w:rsidR="00AE4263" w:rsidRPr="00E975D9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0" w:type="auto"/>
            <w:vAlign w:val="center"/>
          </w:tcPr>
          <w:p w:rsidR="00AE4263" w:rsidRPr="00E975D9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E6287D">
              <w:rPr>
                <w:rFonts w:ascii="Times New Roman" w:hAnsi="Times New Roman"/>
                <w:b/>
                <w:i/>
              </w:rPr>
              <w:t>Запрос котировок в электронной форме.</w:t>
            </w:r>
            <w:r>
              <w:rPr>
                <w:rFonts w:ascii="Times New Roman" w:hAnsi="Times New Roman"/>
              </w:rPr>
              <w:t xml:space="preserve"> Алгоритм проведения запроса котировок в электронной форме. Последствия признания запроса котировок в электронной форме </w:t>
            </w:r>
            <w:proofErr w:type="gramStart"/>
            <w:r>
              <w:rPr>
                <w:rFonts w:ascii="Times New Roman" w:hAnsi="Times New Roman"/>
              </w:rPr>
              <w:t>несостоявшимся</w:t>
            </w:r>
            <w:proofErr w:type="gramEnd"/>
            <w:r>
              <w:rPr>
                <w:rFonts w:ascii="Times New Roman" w:hAnsi="Times New Roman"/>
              </w:rPr>
              <w:t xml:space="preserve">. </w:t>
            </w:r>
            <w:proofErr w:type="gramStart"/>
            <w:r>
              <w:rPr>
                <w:rFonts w:ascii="Times New Roman" w:hAnsi="Times New Roman"/>
              </w:rPr>
              <w:t>Изменения</w:t>
            </w:r>
            <w:proofErr w:type="gramEnd"/>
            <w:r>
              <w:rPr>
                <w:rFonts w:ascii="Times New Roman" w:hAnsi="Times New Roman"/>
              </w:rPr>
              <w:t xml:space="preserve"> вступающие в силу с 01.07.2020г.</w:t>
            </w:r>
          </w:p>
        </w:tc>
      </w:tr>
      <w:tr w:rsidR="00AE4263" w:rsidTr="0047555F">
        <w:tc>
          <w:tcPr>
            <w:tcW w:w="0" w:type="auto"/>
            <w:vAlign w:val="center"/>
          </w:tcPr>
          <w:p w:rsidR="00AE4263" w:rsidRDefault="00AE4263" w:rsidP="009B6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  <w:r w:rsidR="009B65D9">
              <w:rPr>
                <w:rFonts w:ascii="Times New Roman" w:hAnsi="Times New Roman"/>
              </w:rPr>
              <w:t>4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AE4263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12DD5">
              <w:rPr>
                <w:rFonts w:ascii="Times New Roman" w:hAnsi="Times New Roman"/>
                <w:b/>
                <w:i/>
              </w:rPr>
              <w:t>Закупка у единственного поставщика.</w:t>
            </w:r>
            <w:r>
              <w:rPr>
                <w:rFonts w:ascii="Times New Roman" w:hAnsi="Times New Roman"/>
              </w:rPr>
              <w:t xml:space="preserve">  Особенности планирования проведения закупки у единственного поставщика. Согласование закупки. Изменения с 01.07.2020г.</w:t>
            </w:r>
          </w:p>
        </w:tc>
      </w:tr>
      <w:tr w:rsidR="00AE4263" w:rsidRPr="00AE1928" w:rsidTr="0047555F">
        <w:tc>
          <w:tcPr>
            <w:tcW w:w="0" w:type="auto"/>
            <w:vAlign w:val="center"/>
          </w:tcPr>
          <w:p w:rsidR="00AE4263" w:rsidRPr="00AE1928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3</w:t>
            </w:r>
          </w:p>
        </w:tc>
        <w:tc>
          <w:tcPr>
            <w:tcW w:w="0" w:type="auto"/>
            <w:vAlign w:val="center"/>
          </w:tcPr>
          <w:p w:rsidR="00AE4263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Организация контрактной деятельности заказчика государственный (муниципальный) контракт. Приемка. Экспертиза</w:t>
            </w:r>
          </w:p>
          <w:p w:rsidR="00AE4263" w:rsidRPr="00AE1928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</w:tr>
      <w:tr w:rsidR="00AE4263" w:rsidRPr="00E975D9" w:rsidTr="0047555F">
        <w:tc>
          <w:tcPr>
            <w:tcW w:w="0" w:type="auto"/>
            <w:vAlign w:val="center"/>
          </w:tcPr>
          <w:p w:rsidR="00AE4263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</w:t>
            </w:r>
          </w:p>
        </w:tc>
        <w:tc>
          <w:tcPr>
            <w:tcW w:w="0" w:type="auto"/>
            <w:vAlign w:val="center"/>
          </w:tcPr>
          <w:p w:rsidR="00AE4263" w:rsidRPr="00E975D9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C53E6">
              <w:rPr>
                <w:rFonts w:ascii="Times New Roman" w:hAnsi="Times New Roman"/>
                <w:b/>
                <w:i/>
                <w:sz w:val="24"/>
                <w:szCs w:val="24"/>
              </w:rPr>
              <w:t>Контрактная служба. Закупочная комиссия</w:t>
            </w:r>
            <w:r w:rsidRPr="00BC53E6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Функции, права, обязанности и полномочия контрактной службы. Положение о контрактной службе. Должностные инструкции. Закупочные комиссии. Требования к составу, квалификации сотрудников. Деятельность комиссии. </w:t>
            </w:r>
          </w:p>
        </w:tc>
      </w:tr>
      <w:tr w:rsidR="00AE4263" w:rsidRPr="00E975D9" w:rsidTr="0047555F">
        <w:tc>
          <w:tcPr>
            <w:tcW w:w="0" w:type="auto"/>
            <w:vAlign w:val="center"/>
          </w:tcPr>
          <w:p w:rsidR="00AE4263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</w:t>
            </w:r>
          </w:p>
        </w:tc>
        <w:tc>
          <w:tcPr>
            <w:tcW w:w="0" w:type="auto"/>
            <w:vAlign w:val="center"/>
          </w:tcPr>
          <w:p w:rsidR="00AE4263" w:rsidRPr="00E975D9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381C7E">
              <w:rPr>
                <w:rFonts w:ascii="Times New Roman" w:hAnsi="Times New Roman"/>
                <w:b/>
                <w:i/>
                <w:sz w:val="24"/>
                <w:szCs w:val="24"/>
              </w:rPr>
              <w:t>Государственный контракт.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Условия и элементы контракта. Исполнение, изменение и расторжение контракта.</w:t>
            </w:r>
          </w:p>
        </w:tc>
      </w:tr>
      <w:tr w:rsidR="00AE4263" w:rsidRPr="00AE1928" w:rsidTr="0047555F">
        <w:tc>
          <w:tcPr>
            <w:tcW w:w="0" w:type="auto"/>
            <w:vAlign w:val="center"/>
          </w:tcPr>
          <w:p w:rsidR="00AE4263" w:rsidRPr="00851003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51003">
              <w:rPr>
                <w:rFonts w:ascii="Times New Roman" w:hAnsi="Times New Roman"/>
              </w:rPr>
              <w:t>3.3</w:t>
            </w:r>
          </w:p>
        </w:tc>
        <w:tc>
          <w:tcPr>
            <w:tcW w:w="0" w:type="auto"/>
            <w:vAlign w:val="center"/>
          </w:tcPr>
          <w:p w:rsidR="00AE4263" w:rsidRPr="00AE1928" w:rsidRDefault="00AE4263" w:rsidP="004755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81C7E">
              <w:rPr>
                <w:rFonts w:ascii="Times New Roman" w:hAnsi="Times New Roman"/>
                <w:b/>
                <w:i/>
                <w:sz w:val="24"/>
                <w:szCs w:val="24"/>
              </w:rPr>
              <w:t>Контроль и ответственность заказчика.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Функции и полномочия органов контроля. Административная ответственность должностных лиц заказчика. Проверки деятельности заказчика. Итоги проверок Контроль в закупка</w:t>
            </w:r>
            <w:r w:rsidR="008A22F6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01.01.2020г.</w:t>
            </w:r>
          </w:p>
        </w:tc>
      </w:tr>
    </w:tbl>
    <w:p w:rsidR="00D70474" w:rsidRDefault="00D70474"/>
    <w:sectPr w:rsidR="00D70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263"/>
    <w:rsid w:val="001F1C17"/>
    <w:rsid w:val="008A22F6"/>
    <w:rsid w:val="009B65D9"/>
    <w:rsid w:val="00AE4263"/>
    <w:rsid w:val="00D7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2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4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2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42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Желез</dc:creator>
  <cp:lastModifiedBy>Желез</cp:lastModifiedBy>
  <cp:revision>2</cp:revision>
  <dcterms:created xsi:type="dcterms:W3CDTF">2020-03-06T08:27:00Z</dcterms:created>
  <dcterms:modified xsi:type="dcterms:W3CDTF">2020-03-06T08:27:00Z</dcterms:modified>
</cp:coreProperties>
</file>